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FE5" w:rsidRPr="004B7E17" w:rsidRDefault="00EE1F78" w:rsidP="00ED3FE5">
      <w:pPr>
        <w:widowControl w:val="0"/>
        <w:tabs>
          <w:tab w:val="right" w:pos="9639"/>
          <w:tab w:val="right" w:pos="13323"/>
        </w:tabs>
        <w:spacing w:after="0"/>
        <w:rPr>
          <w:rFonts w:ascii="Arial" w:hAnsi="Arial" w:cs="Arial"/>
          <w:b/>
          <w:noProof/>
          <w:sz w:val="24"/>
          <w:szCs w:val="24"/>
          <w:lang w:val="en-US" w:eastAsia="ja-JP"/>
        </w:rPr>
      </w:pPr>
      <w:r>
        <w:rPr>
          <w:b/>
          <w:noProof/>
          <w:sz w:val="24"/>
        </w:rPr>
        <w:t>3GPP TSG-RAN4 Meeting #84</w:t>
      </w:r>
      <w:r w:rsidR="00ED3FE5" w:rsidRPr="004B7E17">
        <w:rPr>
          <w:rFonts w:ascii="Arial" w:hAnsi="Arial" w:cs="Arial"/>
          <w:b/>
          <w:noProof/>
          <w:sz w:val="24"/>
          <w:szCs w:val="24"/>
          <w:lang w:val="en-US"/>
        </w:rPr>
        <w:tab/>
      </w:r>
      <w:r w:rsidR="00882C6F">
        <w:rPr>
          <w:rFonts w:ascii="Arial" w:hAnsi="Arial" w:cs="Arial"/>
          <w:b/>
          <w:bCs/>
          <w:color w:val="808080"/>
          <w:sz w:val="26"/>
          <w:szCs w:val="26"/>
        </w:rPr>
        <w:t>R4-1707761</w:t>
      </w:r>
    </w:p>
    <w:p w:rsidR="00EE1F78" w:rsidRDefault="00EE1F78" w:rsidP="00EE1F78">
      <w:pPr>
        <w:pStyle w:val="CRCoverPage"/>
        <w:outlineLvl w:val="0"/>
        <w:rPr>
          <w:b/>
          <w:noProof/>
          <w:sz w:val="24"/>
        </w:rPr>
      </w:pPr>
      <w:r>
        <w:rPr>
          <w:b/>
          <w:noProof/>
          <w:sz w:val="24"/>
        </w:rPr>
        <w:t>Berlin, DE, 21</w:t>
      </w:r>
      <w:r>
        <w:rPr>
          <w:b/>
          <w:noProof/>
          <w:sz w:val="24"/>
          <w:vertAlign w:val="superscript"/>
        </w:rPr>
        <w:t>st</w:t>
      </w:r>
      <w:r>
        <w:rPr>
          <w:b/>
          <w:noProof/>
          <w:sz w:val="24"/>
        </w:rPr>
        <w:t xml:space="preserve"> – 25</w:t>
      </w:r>
      <w:r w:rsidRPr="006905A5">
        <w:rPr>
          <w:b/>
          <w:noProof/>
          <w:sz w:val="24"/>
          <w:vertAlign w:val="superscript"/>
        </w:rPr>
        <w:t>th</w:t>
      </w:r>
      <w:r>
        <w:rPr>
          <w:b/>
          <w:noProof/>
          <w:sz w:val="24"/>
        </w:rPr>
        <w:t xml:space="preserve"> August 2017</w:t>
      </w:r>
    </w:p>
    <w:p w:rsidR="00462F31" w:rsidRDefault="00462F31" w:rsidP="003C016E">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8490A">
        <w:rPr>
          <w:rFonts w:ascii="Arial" w:hAnsi="Arial"/>
          <w:sz w:val="24"/>
          <w:lang w:val="en-US"/>
        </w:rPr>
        <w:t xml:space="preserve">LS response to </w:t>
      </w:r>
      <w:r w:rsidR="00F8490A">
        <w:rPr>
          <w:rFonts w:ascii="Arial" w:eastAsia="MS Mincho" w:hAnsi="Arial"/>
          <w:szCs w:val="24"/>
          <w:lang w:eastAsia="en-GB"/>
        </w:rPr>
        <w:t>Power Splitting across Different TTI Lengths in UL</w:t>
      </w:r>
    </w:p>
    <w:p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882C6F">
        <w:rPr>
          <w:rFonts w:ascii="Arial" w:hAnsi="Arial"/>
          <w:sz w:val="24"/>
          <w:lang w:val="en-US"/>
        </w:rPr>
        <w:t>8.27.2</w:t>
      </w:r>
    </w:p>
    <w:p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rsidR="00ED7522" w:rsidRDefault="000E0602" w:rsidP="006866E3">
      <w:pPr>
        <w:pStyle w:val="Heading1"/>
        <w:tabs>
          <w:tab w:val="clear" w:pos="432"/>
          <w:tab w:val="num" w:pos="522"/>
        </w:tabs>
        <w:ind w:left="522" w:hanging="522"/>
        <w:rPr>
          <w:lang w:val="en-US"/>
        </w:rPr>
      </w:pPr>
      <w:r>
        <w:rPr>
          <w:lang w:val="en-US"/>
        </w:rPr>
        <w:t>Introduction</w:t>
      </w:r>
    </w:p>
    <w:p w:rsidR="00B27221" w:rsidRPr="00A13DCD" w:rsidRDefault="00B27221" w:rsidP="00B27221">
      <w:r>
        <w:t>Power management in case of CA among different TTI lengths raise</w:t>
      </w:r>
      <w:r w:rsidR="00557CF2">
        <w:t>s</w:t>
      </w:r>
      <w:r>
        <w:t xml:space="preserve"> an interesting set of issues.  In gen</w:t>
      </w:r>
      <w:r w:rsidR="0026655D">
        <w:t>eral, CA can be between CCs in the</w:t>
      </w:r>
      <w:r>
        <w:t xml:space="preserve"> same or two different PUCCH groups. Also, it could be inter-band or intra-band. For intra-band CA</w:t>
      </w:r>
      <w:r w:rsidR="00E8250A">
        <w:t>,</w:t>
      </w:r>
      <w:r w:rsidR="00215172">
        <w:t xml:space="preserve"> the </w:t>
      </w:r>
      <w:r w:rsidR="00F7111B">
        <w:t>allocation</w:t>
      </w:r>
      <w:r>
        <w:t xml:space="preserve"> could be intra-band contiguous or intra-band non-contiguous. This LS response considers each of these cases when listing the concerns in maintaining phase continuity for each CC. </w:t>
      </w:r>
    </w:p>
    <w:p w:rsidR="00C15C1A" w:rsidRPr="00F22934" w:rsidRDefault="00C15C1A" w:rsidP="00F22934">
      <w:pPr>
        <w:rPr>
          <w:lang w:val="en-US"/>
        </w:rPr>
      </w:pPr>
    </w:p>
    <w:p w:rsidR="00C15C1A" w:rsidRDefault="006866E3" w:rsidP="00A67A30">
      <w:pPr>
        <w:pStyle w:val="Heading1"/>
        <w:rPr>
          <w:lang w:val="en-US"/>
        </w:rPr>
      </w:pPr>
      <w:r w:rsidRPr="00C15C1A">
        <w:rPr>
          <w:lang w:val="en-US"/>
        </w:rPr>
        <w:t>Discussion</w:t>
      </w:r>
    </w:p>
    <w:p w:rsidR="00964075" w:rsidRDefault="00964075" w:rsidP="00964075">
      <w:pPr>
        <w:pStyle w:val="Heading2"/>
      </w:pPr>
      <w:r>
        <w:t>Requirement to maintain phase continuity:</w:t>
      </w:r>
    </w:p>
    <w:p w:rsidR="006120AC" w:rsidRDefault="00964075" w:rsidP="00964075">
      <w:r w:rsidRPr="008D2524">
        <w:t xml:space="preserve">In general, when the analog gain of the transceiver or the supply voltage of the PA or the PA gain changes it </w:t>
      </w:r>
      <w:r>
        <w:t xml:space="preserve">could </w:t>
      </w:r>
      <w:r w:rsidRPr="008D2524">
        <w:t>result in a phase change.</w:t>
      </w:r>
      <w:r>
        <w:rPr>
          <w:rFonts w:ascii="Arial" w:hAnsi="Arial" w:cs="Arial"/>
        </w:rPr>
        <w:t xml:space="preserve"> </w:t>
      </w:r>
      <w:r w:rsidRPr="00861661">
        <w:t xml:space="preserve">This phase </w:t>
      </w:r>
      <w:r>
        <w:t xml:space="preserve">change is hard to quantify over conditions and hence </w:t>
      </w:r>
      <w:r w:rsidR="0087437F">
        <w:t>very challenging</w:t>
      </w:r>
      <w:r>
        <w:t xml:space="preserve"> to compensate for it. Hence, it’s fair to say that if phase continuity needs to be maintained, then the above parameters need to be kept a constant for the duration of the TTI. </w:t>
      </w:r>
    </w:p>
    <w:p w:rsidR="006120AC" w:rsidRDefault="006120AC" w:rsidP="006120AC">
      <w:pPr>
        <w:pStyle w:val="Heading2"/>
      </w:pPr>
      <w:r w:rsidRPr="00AA3EFD">
        <w:t xml:space="preserve">Intra-band CA </w:t>
      </w:r>
      <w:r w:rsidR="00D84214">
        <w:t>with TTIs of different lengths</w:t>
      </w:r>
    </w:p>
    <w:p w:rsidR="006120AC" w:rsidRPr="001F7026" w:rsidRDefault="006120AC" w:rsidP="006120AC">
      <w:pPr>
        <w:pStyle w:val="Heading3"/>
      </w:pPr>
      <w:r w:rsidRPr="001F7026">
        <w:t>Intra-band CA with contiguous carriers</w:t>
      </w:r>
    </w:p>
    <w:p w:rsidR="006120AC" w:rsidRDefault="006120AC" w:rsidP="006120AC">
      <w:r>
        <w:t xml:space="preserve">In intra-band CA, when the carriers are contiguous, a single </w:t>
      </w:r>
      <w:r w:rsidR="005163E1">
        <w:t>Tx</w:t>
      </w:r>
      <w:r>
        <w:t xml:space="preserve"> chain is typically used. So, when the total power needs to be increased due to increase in power of one of the </w:t>
      </w:r>
      <w:proofErr w:type="spellStart"/>
      <w:r>
        <w:t>sTTIs</w:t>
      </w:r>
      <w:proofErr w:type="spellEnd"/>
      <w:r>
        <w:t xml:space="preserve"> within a longer TTI, the analog gain of the transceiver or the PA voltage or the PA gain state might need to be changed. Any combination of these could result in a phase discontinuity for the longer TTI. </w:t>
      </w:r>
    </w:p>
    <w:p w:rsidR="006120AC" w:rsidRDefault="006120AC" w:rsidP="006120AC">
      <w:r>
        <w:t xml:space="preserve">Hence, it is fair to conclude that for intra-band </w:t>
      </w:r>
      <w:r w:rsidR="00C75649">
        <w:t xml:space="preserve">contiguous </w:t>
      </w:r>
      <w:r>
        <w:t xml:space="preserve">CA among different length TTIs, with the mechanisms available today, phase continuity cannot be maintained for the longer TTI. This is the case when the UE is </w:t>
      </w:r>
      <w:r w:rsidR="00507947">
        <w:t>either</w:t>
      </w:r>
      <w:r>
        <w:t xml:space="preserve"> power limited </w:t>
      </w:r>
      <w:r w:rsidR="00507947">
        <w:t>or</w:t>
      </w:r>
      <w:r>
        <w:t xml:space="preserve"> non-power limited. </w:t>
      </w:r>
    </w:p>
    <w:p w:rsidR="00292AE9" w:rsidRDefault="00292AE9" w:rsidP="006120AC">
      <w:r>
        <w:t xml:space="preserve">Also, Intra-band CA among TTIs of the same length and with same TAG can be supported. Phase continuity of all </w:t>
      </w:r>
      <w:r w:rsidR="004B75DC">
        <w:t>the CCs can also be maintained.</w:t>
      </w:r>
    </w:p>
    <w:p w:rsidR="006120AC" w:rsidRDefault="006120AC" w:rsidP="006120AC">
      <w:pPr>
        <w:pStyle w:val="Heading3"/>
      </w:pPr>
      <w:r w:rsidRPr="001F7026">
        <w:t xml:space="preserve">Intra-band CA with </w:t>
      </w:r>
      <w:r w:rsidR="00FE3265">
        <w:t>non-contiguous</w:t>
      </w:r>
      <w:r w:rsidRPr="001F7026">
        <w:t xml:space="preserve"> carrier allocation</w:t>
      </w:r>
    </w:p>
    <w:p w:rsidR="00AA3781" w:rsidRDefault="006120AC" w:rsidP="006120AC">
      <w:r>
        <w:t xml:space="preserve">In case of </w:t>
      </w:r>
      <w:r w:rsidR="00FE3265">
        <w:t>non-contiguous</w:t>
      </w:r>
      <w:r>
        <w:t xml:space="preserve"> carrier allocation for intra-band CA, if the same the same Tx chain is shared across CCs then the case is </w:t>
      </w:r>
      <w:r w:rsidR="00E32798">
        <w:t>like</w:t>
      </w:r>
      <w:r>
        <w:t xml:space="preserve"> that of </w:t>
      </w:r>
      <w:r w:rsidR="00FD7F34">
        <w:t>i</w:t>
      </w:r>
      <w:r>
        <w:t xml:space="preserve">ntra-band contiguous CA. </w:t>
      </w:r>
    </w:p>
    <w:p w:rsidR="006120AC" w:rsidRDefault="006120AC" w:rsidP="006120AC">
      <w:r>
        <w:t xml:space="preserve">If different and independent Tx chains are used for each CC then </w:t>
      </w:r>
      <w:r w:rsidR="00FD7F34">
        <w:t xml:space="preserve">the case is </w:t>
      </w:r>
      <w:r w:rsidR="00E32798">
        <w:t>like</w:t>
      </w:r>
      <w:r w:rsidR="00FD7F34">
        <w:t xml:space="preserve"> that of i</w:t>
      </w:r>
      <w:r>
        <w:t xml:space="preserve">nter-band CA. </w:t>
      </w:r>
    </w:p>
    <w:p w:rsidR="00595839" w:rsidRDefault="00D63BC7" w:rsidP="00595839">
      <w:pPr>
        <w:pStyle w:val="Heading2"/>
      </w:pPr>
      <w:r>
        <w:t>Inter</w:t>
      </w:r>
      <w:r w:rsidR="00595839" w:rsidRPr="00AA3EFD">
        <w:t xml:space="preserve">-band CA </w:t>
      </w:r>
      <w:r w:rsidR="00D84214">
        <w:t>with TTIs of different lengths</w:t>
      </w:r>
    </w:p>
    <w:p w:rsidR="00595839" w:rsidRDefault="00595839" w:rsidP="00595839">
      <w:r>
        <w:t xml:space="preserve">In inter-band CA, each CC uses a different Tx chain. Hence, updating the analog gain or changing the voltage on one of the PAs or changing its gain state </w:t>
      </w:r>
      <w:r w:rsidR="009452C9">
        <w:t>is not expected to</w:t>
      </w:r>
      <w:r>
        <w:t xml:space="preserve"> affect the phase of the other CCs. When the UE is not power limited across all CCs, phase continuity for each CC can be maintained. </w:t>
      </w:r>
    </w:p>
    <w:p w:rsidR="00595839" w:rsidRDefault="00595839" w:rsidP="00595839">
      <w:r>
        <w:lastRenderedPageBreak/>
        <w:t xml:space="preserve">When the </w:t>
      </w:r>
      <w:r w:rsidR="00632DF4">
        <w:t xml:space="preserve">total </w:t>
      </w:r>
      <w:r w:rsidR="00F55934">
        <w:t xml:space="preserve">desired </w:t>
      </w:r>
      <w:r>
        <w:t xml:space="preserve">UE </w:t>
      </w:r>
      <w:r w:rsidR="00F55934">
        <w:t>power exceeds its power class</w:t>
      </w:r>
      <w:r>
        <w:t xml:space="preserve">, there are two </w:t>
      </w:r>
      <w:r w:rsidR="00E71A2A">
        <w:t xml:space="preserve">parameters </w:t>
      </w:r>
      <w:r>
        <w:t xml:space="preserve">that determine the possibility of maintaining phase continuity on the longer TTI: </w:t>
      </w:r>
    </w:p>
    <w:p w:rsidR="00595839" w:rsidRDefault="00595839" w:rsidP="00595839">
      <w:pPr>
        <w:numPr>
          <w:ilvl w:val="0"/>
          <w:numId w:val="21"/>
        </w:numPr>
        <w:suppressAutoHyphens/>
        <w:spacing w:after="0"/>
      </w:pPr>
      <w:r>
        <w:t>PC max compu</w:t>
      </w:r>
      <w:r w:rsidR="00966486">
        <w:t>tation and evaluation equations</w:t>
      </w:r>
    </w:p>
    <w:p w:rsidR="00F77125" w:rsidRDefault="00595839" w:rsidP="00595839">
      <w:pPr>
        <w:numPr>
          <w:ilvl w:val="0"/>
          <w:numId w:val="21"/>
        </w:numPr>
        <w:suppressAutoHyphens/>
        <w:spacing w:after="0"/>
      </w:pPr>
      <w:r>
        <w:t>P</w:t>
      </w:r>
      <w:r w:rsidR="003A38F6">
        <w:t xml:space="preserve">ower reservation and </w:t>
      </w:r>
      <w:r>
        <w:t>dropping rules</w:t>
      </w:r>
      <w:r w:rsidR="00A17E8D">
        <w:t xml:space="preserve"> for each CC</w:t>
      </w:r>
    </w:p>
    <w:p w:rsidR="005D212C" w:rsidRDefault="005D212C" w:rsidP="005D212C">
      <w:pPr>
        <w:suppressAutoHyphens/>
        <w:spacing w:after="0"/>
        <w:ind w:left="1080"/>
      </w:pPr>
    </w:p>
    <w:p w:rsidR="00F77125" w:rsidRDefault="00F4366B" w:rsidP="00595839">
      <w:r>
        <w:t xml:space="preserve">One proposal for computing and evaluating </w:t>
      </w:r>
      <w:r w:rsidR="006930BA">
        <w:t xml:space="preserve">a combined </w:t>
      </w:r>
      <w:r>
        <w:t xml:space="preserve">PC Max for </w:t>
      </w:r>
      <w:r w:rsidR="0063552F">
        <w:t>all</w:t>
      </w:r>
      <w:r>
        <w:t xml:space="preserve"> the CCs is given in [2]. </w:t>
      </w:r>
    </w:p>
    <w:p w:rsidR="002619C7" w:rsidRDefault="00BF6880" w:rsidP="00F22934">
      <w:pPr>
        <w:pStyle w:val="Heading1"/>
      </w:pPr>
      <w:r>
        <w:t>C</w:t>
      </w:r>
      <w:r w:rsidR="00C762BF">
        <w:t>onclusion</w:t>
      </w:r>
    </w:p>
    <w:p w:rsidR="003F67D1" w:rsidRDefault="00335FF5" w:rsidP="00372DA4">
      <w:r>
        <w:t xml:space="preserve">In this paper, </w:t>
      </w:r>
      <w:r w:rsidR="005D4889">
        <w:t xml:space="preserve">we address the cases of inter-band and intra-band CA between TTIs of different length. </w:t>
      </w:r>
      <w:r w:rsidR="00237387">
        <w:t xml:space="preserve">The RF requirements and conditions needed to maintain phase continuity on the longer TTI have been listed. </w:t>
      </w:r>
      <w:r w:rsidR="00490A47">
        <w:t xml:space="preserve">There is a need for proper power reservation and dropping rules within and across PUCCH groups which along with the PCmax computation and evaluation equations described in [2] can help </w:t>
      </w:r>
      <w:r w:rsidR="00E95111">
        <w:t xml:space="preserve">maintain phase continuity for each CC. </w:t>
      </w:r>
    </w:p>
    <w:p w:rsidR="00717D73" w:rsidRDefault="00717D73" w:rsidP="00372DA4">
      <w:r>
        <w:t>In summary:</w:t>
      </w:r>
    </w:p>
    <w:p w:rsidR="00717D73" w:rsidRDefault="00717D73" w:rsidP="00717D73">
      <w:pPr>
        <w:pStyle w:val="ListParagraph"/>
        <w:numPr>
          <w:ilvl w:val="0"/>
          <w:numId w:val="22"/>
        </w:numPr>
      </w:pPr>
      <w:r>
        <w:t>For inter-band CA</w:t>
      </w:r>
      <w:r w:rsidR="00EA66EA">
        <w:t xml:space="preserve"> with same or different TTI lengths</w:t>
      </w:r>
      <w:r>
        <w:t xml:space="preserve">, </w:t>
      </w:r>
      <w:r w:rsidR="00FA4E98">
        <w:t>PC max computation and evaluation equations</w:t>
      </w:r>
      <w:r w:rsidR="00A90348">
        <w:t xml:space="preserve"> </w:t>
      </w:r>
      <w:r w:rsidR="0022288C">
        <w:t xml:space="preserve">described in </w:t>
      </w:r>
      <w:r w:rsidR="00604923">
        <w:t xml:space="preserve">[2] </w:t>
      </w:r>
      <w:r w:rsidR="0022288C">
        <w:t xml:space="preserve">along with </w:t>
      </w:r>
      <w:r w:rsidR="00722457">
        <w:t xml:space="preserve">proper </w:t>
      </w:r>
      <w:r w:rsidR="0022288C">
        <w:t xml:space="preserve">power reservation and </w:t>
      </w:r>
      <w:r w:rsidR="00A90348">
        <w:t>dropping rules can help achieve the desired goal</w:t>
      </w:r>
      <w:r w:rsidR="005B531F">
        <w:t xml:space="preserve"> </w:t>
      </w:r>
      <w:r w:rsidR="00B93787">
        <w:t xml:space="preserve">when the TTIs belong to </w:t>
      </w:r>
      <w:r w:rsidR="009815FD">
        <w:t xml:space="preserve">the </w:t>
      </w:r>
      <w:r w:rsidR="00B93787">
        <w:t>same or different PUCCH groups</w:t>
      </w:r>
      <w:r w:rsidR="00A90348">
        <w:t xml:space="preserve">. </w:t>
      </w:r>
    </w:p>
    <w:p w:rsidR="00717D73" w:rsidRDefault="00717D73" w:rsidP="00717D73">
      <w:pPr>
        <w:pStyle w:val="ListParagraph"/>
        <w:numPr>
          <w:ilvl w:val="0"/>
          <w:numId w:val="22"/>
        </w:numPr>
      </w:pPr>
      <w:r>
        <w:t>For i</w:t>
      </w:r>
      <w:r w:rsidR="00A90348">
        <w:t xml:space="preserve">ntra-band CA with </w:t>
      </w:r>
      <w:r w:rsidR="002F36DA">
        <w:t xml:space="preserve">different </w:t>
      </w:r>
      <w:r w:rsidR="004B5647">
        <w:t>length TTIs</w:t>
      </w:r>
      <w:r>
        <w:t>, phase continuity</w:t>
      </w:r>
      <w:r w:rsidR="002F36DA">
        <w:t xml:space="preserve"> </w:t>
      </w:r>
      <w:r w:rsidR="00A90348">
        <w:t xml:space="preserve">cannot be </w:t>
      </w:r>
      <w:r>
        <w:t>maintained</w:t>
      </w:r>
      <w:r w:rsidR="00A90348">
        <w:t xml:space="preserve"> with the mechanisms available today irrespective of the TTIs belonging to the same or different PUCCH groups. </w:t>
      </w:r>
    </w:p>
    <w:p w:rsidR="00A90348" w:rsidRDefault="00212DED" w:rsidP="00717D73">
      <w:pPr>
        <w:pStyle w:val="ListParagraph"/>
        <w:numPr>
          <w:ilvl w:val="0"/>
          <w:numId w:val="22"/>
        </w:numPr>
      </w:pPr>
      <w:r>
        <w:t xml:space="preserve">For </w:t>
      </w:r>
      <w:r w:rsidR="00137992">
        <w:t xml:space="preserve">Intra-band CA </w:t>
      </w:r>
      <w:r w:rsidR="00AE5764">
        <w:t>among</w:t>
      </w:r>
      <w:r w:rsidR="00137992">
        <w:t xml:space="preserve"> TTIs of the same length </w:t>
      </w:r>
      <w:r w:rsidR="003B225F">
        <w:t>and TAG</w:t>
      </w:r>
      <w:r w:rsidR="00FA4E98">
        <w:t xml:space="preserve"> </w:t>
      </w:r>
      <w:r w:rsidR="00796A1B">
        <w:t>within or across PUCCH groups</w:t>
      </w:r>
      <w:r>
        <w:t>,</w:t>
      </w:r>
      <w:r w:rsidR="00796A1B">
        <w:t xml:space="preserve"> </w:t>
      </w:r>
      <w:r w:rsidR="00FA4E98">
        <w:t xml:space="preserve">with PC max computation and evaluation </w:t>
      </w:r>
      <w:r w:rsidR="0056348E">
        <w:t xml:space="preserve">equations described in [2] along with the appropriate </w:t>
      </w:r>
      <w:r w:rsidR="002677FA">
        <w:t xml:space="preserve">power reservation and </w:t>
      </w:r>
      <w:r w:rsidR="0056348E">
        <w:t>dropping rules</w:t>
      </w:r>
      <w:r w:rsidR="004D21FC">
        <w:t>,</w:t>
      </w:r>
      <w:r w:rsidR="0056348E">
        <w:t xml:space="preserve"> </w:t>
      </w:r>
      <w:r w:rsidR="00FC41AF">
        <w:t xml:space="preserve">phase continuity </w:t>
      </w:r>
      <w:r w:rsidR="00172688">
        <w:t xml:space="preserve">could be maintained </w:t>
      </w:r>
      <w:r w:rsidR="00FC41AF">
        <w:t xml:space="preserve">on each CC. </w:t>
      </w:r>
    </w:p>
    <w:p w:rsidR="003F67D1" w:rsidRDefault="003F67D1" w:rsidP="00372DA4"/>
    <w:p w:rsidR="00D62CD8" w:rsidRDefault="00D62CD8" w:rsidP="00D62CD8">
      <w:pPr>
        <w:pStyle w:val="Heading1"/>
        <w:jc w:val="both"/>
      </w:pPr>
      <w:r>
        <w:t>References</w:t>
      </w:r>
    </w:p>
    <w:p w:rsidR="0098152F" w:rsidRDefault="0098152F" w:rsidP="0098152F">
      <w:r>
        <w:t xml:space="preserve">[1] </w:t>
      </w:r>
      <w:r w:rsidRPr="0098152F">
        <w:t>R1-1709244</w:t>
      </w:r>
      <w:r>
        <w:t xml:space="preserve">, </w:t>
      </w:r>
      <w:r w:rsidRPr="0098152F">
        <w:t>LS on the Power Splitting across Different TTI Lengths in UL</w:t>
      </w:r>
      <w:r>
        <w:t xml:space="preserve">, </w:t>
      </w:r>
      <w:r w:rsidRPr="0098152F">
        <w:t>3GPP TSG RAN WG1 Meeting #89</w:t>
      </w:r>
      <w:r>
        <w:t xml:space="preserve">, </w:t>
      </w:r>
      <w:r w:rsidRPr="0098152F">
        <w:t>May 15th - 19th, 2017</w:t>
      </w:r>
      <w:r>
        <w:t xml:space="preserve">, </w:t>
      </w:r>
      <w:r w:rsidRPr="0098152F">
        <w:t>Hangzhou, China</w:t>
      </w:r>
    </w:p>
    <w:p w:rsidR="0098152F" w:rsidRPr="0098152F" w:rsidRDefault="0098152F" w:rsidP="0098152F">
      <w:r>
        <w:t xml:space="preserve">[2] </w:t>
      </w:r>
      <w:r w:rsidR="00647816" w:rsidRPr="00647816">
        <w:t>R4-1707791</w:t>
      </w:r>
      <w:bookmarkStart w:id="0" w:name="_GoBack"/>
      <w:bookmarkEnd w:id="0"/>
      <w:r>
        <w:t xml:space="preserve">, </w:t>
      </w:r>
      <w:r w:rsidR="00647816" w:rsidRPr="006337CB">
        <w:rPr>
          <w:sz w:val="24"/>
          <w:lang w:val="en-US"/>
        </w:rPr>
        <w:t xml:space="preserve">PCmax computation and evaluation for </w:t>
      </w:r>
      <w:r w:rsidR="00647816">
        <w:rPr>
          <w:sz w:val="24"/>
          <w:lang w:val="en-US"/>
        </w:rPr>
        <w:t xml:space="preserve">inter-band </w:t>
      </w:r>
      <w:r w:rsidR="00647816" w:rsidRPr="006337CB">
        <w:rPr>
          <w:sz w:val="24"/>
          <w:lang w:val="en-US"/>
        </w:rPr>
        <w:t>CA with sTTI</w:t>
      </w:r>
      <w:r>
        <w:t xml:space="preserve">, </w:t>
      </w:r>
      <w:r w:rsidRPr="0098152F">
        <w:t>3GPP TSG-RAN4 Meeting #84</w:t>
      </w:r>
      <w:r>
        <w:t xml:space="preserve">, </w:t>
      </w:r>
      <w:r w:rsidRPr="0098152F">
        <w:t>Berlin, DE, 21st – 25th August 2017</w:t>
      </w:r>
    </w:p>
    <w:sectPr w:rsidR="0098152F" w:rsidRPr="0098152F"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7194" w:rsidRDefault="00227194">
      <w:r>
        <w:separator/>
      </w:r>
    </w:p>
  </w:endnote>
  <w:endnote w:type="continuationSeparator" w:id="0">
    <w:p w:rsidR="00227194" w:rsidRDefault="00227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7816">
      <w:rPr>
        <w:rStyle w:val="PageNumber"/>
      </w:rPr>
      <w:t>2</w:t>
    </w:r>
    <w:r>
      <w:rPr>
        <w:rStyle w:val="PageNumber"/>
      </w:rPr>
      <w:fldChar w:fldCharType="end"/>
    </w:r>
  </w:p>
  <w:p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7194" w:rsidRDefault="00227194">
      <w:r>
        <w:separator/>
      </w:r>
    </w:p>
  </w:footnote>
  <w:footnote w:type="continuationSeparator" w:id="0">
    <w:p w:rsidR="00227194" w:rsidRDefault="002271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5AC1"/>
    <w:multiLevelType w:val="hybridMultilevel"/>
    <w:tmpl w:val="24BE1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FF48C3"/>
    <w:multiLevelType w:val="hybridMultilevel"/>
    <w:tmpl w:val="4D38DF32"/>
    <w:lvl w:ilvl="0" w:tplc="ED600A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16"/>
  </w:num>
  <w:num w:numId="4">
    <w:abstractNumId w:val="18"/>
  </w:num>
  <w:num w:numId="5">
    <w:abstractNumId w:val="12"/>
  </w:num>
  <w:num w:numId="6">
    <w:abstractNumId w:val="7"/>
  </w:num>
  <w:num w:numId="7">
    <w:abstractNumId w:val="2"/>
  </w:num>
  <w:num w:numId="8">
    <w:abstractNumId w:val="15"/>
  </w:num>
  <w:num w:numId="9">
    <w:abstractNumId w:val="8"/>
  </w:num>
  <w:num w:numId="10">
    <w:abstractNumId w:val="11"/>
  </w:num>
  <w:num w:numId="11">
    <w:abstractNumId w:val="20"/>
  </w:num>
  <w:num w:numId="12">
    <w:abstractNumId w:val="17"/>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4"/>
  </w:num>
  <w:num w:numId="16">
    <w:abstractNumId w:val="3"/>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9"/>
  </w:num>
  <w:num w:numId="20">
    <w:abstractNumId w:val="13"/>
  </w:num>
  <w:num w:numId="21">
    <w:abstractNumId w:val="19"/>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02C9"/>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2DB"/>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0FF4"/>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37992"/>
    <w:rsid w:val="00140AF5"/>
    <w:rsid w:val="001411D2"/>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688"/>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0B05"/>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2DED"/>
    <w:rsid w:val="002133CA"/>
    <w:rsid w:val="00213AF4"/>
    <w:rsid w:val="002142D2"/>
    <w:rsid w:val="00215172"/>
    <w:rsid w:val="002154D9"/>
    <w:rsid w:val="00216158"/>
    <w:rsid w:val="0021749B"/>
    <w:rsid w:val="002175F8"/>
    <w:rsid w:val="00220952"/>
    <w:rsid w:val="00221BA7"/>
    <w:rsid w:val="0022254F"/>
    <w:rsid w:val="0022288C"/>
    <w:rsid w:val="00222DC6"/>
    <w:rsid w:val="002247C0"/>
    <w:rsid w:val="002264F6"/>
    <w:rsid w:val="00227194"/>
    <w:rsid w:val="00230C94"/>
    <w:rsid w:val="00230EB7"/>
    <w:rsid w:val="00230EC6"/>
    <w:rsid w:val="00231913"/>
    <w:rsid w:val="00234C5F"/>
    <w:rsid w:val="002354C1"/>
    <w:rsid w:val="00235AEE"/>
    <w:rsid w:val="00236663"/>
    <w:rsid w:val="00236C6E"/>
    <w:rsid w:val="00236F57"/>
    <w:rsid w:val="0023738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3551"/>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523"/>
    <w:rsid w:val="002658E7"/>
    <w:rsid w:val="0026655D"/>
    <w:rsid w:val="00266622"/>
    <w:rsid w:val="00267702"/>
    <w:rsid w:val="002677FA"/>
    <w:rsid w:val="00267C7C"/>
    <w:rsid w:val="00267D26"/>
    <w:rsid w:val="00267F83"/>
    <w:rsid w:val="0027049F"/>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2AE9"/>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4919"/>
    <w:rsid w:val="002D499F"/>
    <w:rsid w:val="002D4A80"/>
    <w:rsid w:val="002D5209"/>
    <w:rsid w:val="002D5562"/>
    <w:rsid w:val="002D5832"/>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6DA"/>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4B11"/>
    <w:rsid w:val="003359A3"/>
    <w:rsid w:val="00335FF5"/>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1F13"/>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38F6"/>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25F"/>
    <w:rsid w:val="003B38AF"/>
    <w:rsid w:val="003B3BF9"/>
    <w:rsid w:val="003B3D77"/>
    <w:rsid w:val="003B53D8"/>
    <w:rsid w:val="003B5714"/>
    <w:rsid w:val="003B5F4D"/>
    <w:rsid w:val="003B705A"/>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222"/>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5E5"/>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B38"/>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D35"/>
    <w:rsid w:val="004719A4"/>
    <w:rsid w:val="00471B2D"/>
    <w:rsid w:val="00472250"/>
    <w:rsid w:val="004729B1"/>
    <w:rsid w:val="00473355"/>
    <w:rsid w:val="00474729"/>
    <w:rsid w:val="00474A9F"/>
    <w:rsid w:val="00475ACA"/>
    <w:rsid w:val="00476B1E"/>
    <w:rsid w:val="00477349"/>
    <w:rsid w:val="00477AFF"/>
    <w:rsid w:val="00480894"/>
    <w:rsid w:val="00481228"/>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0A47"/>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647"/>
    <w:rsid w:val="004B5A3B"/>
    <w:rsid w:val="004B5EB3"/>
    <w:rsid w:val="004B6441"/>
    <w:rsid w:val="004B64D8"/>
    <w:rsid w:val="004B75DC"/>
    <w:rsid w:val="004B7689"/>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0A2E"/>
    <w:rsid w:val="004D21FC"/>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947"/>
    <w:rsid w:val="00507B00"/>
    <w:rsid w:val="00507B9C"/>
    <w:rsid w:val="00511476"/>
    <w:rsid w:val="005114F8"/>
    <w:rsid w:val="00512272"/>
    <w:rsid w:val="00512F02"/>
    <w:rsid w:val="005148FF"/>
    <w:rsid w:val="005163E1"/>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57CF2"/>
    <w:rsid w:val="0056027A"/>
    <w:rsid w:val="00560716"/>
    <w:rsid w:val="005607A9"/>
    <w:rsid w:val="00561361"/>
    <w:rsid w:val="0056188B"/>
    <w:rsid w:val="00562C3D"/>
    <w:rsid w:val="0056348E"/>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839"/>
    <w:rsid w:val="0059592B"/>
    <w:rsid w:val="00596AB4"/>
    <w:rsid w:val="00597E5D"/>
    <w:rsid w:val="005A068A"/>
    <w:rsid w:val="005A085B"/>
    <w:rsid w:val="005A2608"/>
    <w:rsid w:val="005A2932"/>
    <w:rsid w:val="005A29EA"/>
    <w:rsid w:val="005A2E56"/>
    <w:rsid w:val="005A3263"/>
    <w:rsid w:val="005A329D"/>
    <w:rsid w:val="005A4A69"/>
    <w:rsid w:val="005A4D5D"/>
    <w:rsid w:val="005A5467"/>
    <w:rsid w:val="005A5787"/>
    <w:rsid w:val="005A5966"/>
    <w:rsid w:val="005A5CD5"/>
    <w:rsid w:val="005A5E6E"/>
    <w:rsid w:val="005A7A96"/>
    <w:rsid w:val="005B0567"/>
    <w:rsid w:val="005B1D12"/>
    <w:rsid w:val="005B3367"/>
    <w:rsid w:val="005B398A"/>
    <w:rsid w:val="005B3CC6"/>
    <w:rsid w:val="005B4429"/>
    <w:rsid w:val="005B448B"/>
    <w:rsid w:val="005B531F"/>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12C"/>
    <w:rsid w:val="005D2787"/>
    <w:rsid w:val="005D3511"/>
    <w:rsid w:val="005D4889"/>
    <w:rsid w:val="005D717C"/>
    <w:rsid w:val="005D7204"/>
    <w:rsid w:val="005D726E"/>
    <w:rsid w:val="005D7C23"/>
    <w:rsid w:val="005D7E7B"/>
    <w:rsid w:val="005E02FB"/>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2A0"/>
    <w:rsid w:val="005F76A4"/>
    <w:rsid w:val="005F7971"/>
    <w:rsid w:val="00600EAD"/>
    <w:rsid w:val="00602A62"/>
    <w:rsid w:val="00603617"/>
    <w:rsid w:val="0060381F"/>
    <w:rsid w:val="006046B6"/>
    <w:rsid w:val="00604923"/>
    <w:rsid w:val="006049FD"/>
    <w:rsid w:val="006059EE"/>
    <w:rsid w:val="00606AE4"/>
    <w:rsid w:val="00607638"/>
    <w:rsid w:val="00607AD8"/>
    <w:rsid w:val="006102C5"/>
    <w:rsid w:val="0061093F"/>
    <w:rsid w:val="00610E2B"/>
    <w:rsid w:val="00611E72"/>
    <w:rsid w:val="006120AC"/>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DF4"/>
    <w:rsid w:val="00632F2F"/>
    <w:rsid w:val="006330EB"/>
    <w:rsid w:val="00633CAB"/>
    <w:rsid w:val="006344A4"/>
    <w:rsid w:val="006348FB"/>
    <w:rsid w:val="00634B97"/>
    <w:rsid w:val="006353BB"/>
    <w:rsid w:val="0063552F"/>
    <w:rsid w:val="00635564"/>
    <w:rsid w:val="00635FF3"/>
    <w:rsid w:val="00636784"/>
    <w:rsid w:val="00637929"/>
    <w:rsid w:val="00637C32"/>
    <w:rsid w:val="006404BF"/>
    <w:rsid w:val="006411FD"/>
    <w:rsid w:val="006414D7"/>
    <w:rsid w:val="006415CF"/>
    <w:rsid w:val="00643CD3"/>
    <w:rsid w:val="006445E9"/>
    <w:rsid w:val="00644C82"/>
    <w:rsid w:val="006451AA"/>
    <w:rsid w:val="00645A51"/>
    <w:rsid w:val="006469A7"/>
    <w:rsid w:val="006475CB"/>
    <w:rsid w:val="00647816"/>
    <w:rsid w:val="00647D90"/>
    <w:rsid w:val="00650614"/>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879C8"/>
    <w:rsid w:val="0069074E"/>
    <w:rsid w:val="006913F1"/>
    <w:rsid w:val="0069192B"/>
    <w:rsid w:val="0069257A"/>
    <w:rsid w:val="006930BA"/>
    <w:rsid w:val="006937D5"/>
    <w:rsid w:val="0069399C"/>
    <w:rsid w:val="00693B21"/>
    <w:rsid w:val="006942DD"/>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0A51"/>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3F8B"/>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5DD"/>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35DD"/>
    <w:rsid w:val="00713DCE"/>
    <w:rsid w:val="00715F13"/>
    <w:rsid w:val="00716001"/>
    <w:rsid w:val="00717421"/>
    <w:rsid w:val="00717AAF"/>
    <w:rsid w:val="00717D73"/>
    <w:rsid w:val="00721399"/>
    <w:rsid w:val="0072166E"/>
    <w:rsid w:val="00721679"/>
    <w:rsid w:val="00721D85"/>
    <w:rsid w:val="00722457"/>
    <w:rsid w:val="007225D7"/>
    <w:rsid w:val="007227AE"/>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74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6F4"/>
    <w:rsid w:val="007850F8"/>
    <w:rsid w:val="00785352"/>
    <w:rsid w:val="00786A8F"/>
    <w:rsid w:val="007902F8"/>
    <w:rsid w:val="00790FEC"/>
    <w:rsid w:val="00791761"/>
    <w:rsid w:val="00791C20"/>
    <w:rsid w:val="00791CC0"/>
    <w:rsid w:val="00792CD2"/>
    <w:rsid w:val="007933AC"/>
    <w:rsid w:val="007942B9"/>
    <w:rsid w:val="0079485D"/>
    <w:rsid w:val="007951C7"/>
    <w:rsid w:val="007954A4"/>
    <w:rsid w:val="00795625"/>
    <w:rsid w:val="00796A1B"/>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B6FA6"/>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131B"/>
    <w:rsid w:val="007D1ABE"/>
    <w:rsid w:val="007D2289"/>
    <w:rsid w:val="007D2899"/>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6C09"/>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4DF6"/>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4799"/>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70EAF"/>
    <w:rsid w:val="00871CE9"/>
    <w:rsid w:val="00872994"/>
    <w:rsid w:val="0087437F"/>
    <w:rsid w:val="00874DFD"/>
    <w:rsid w:val="00875013"/>
    <w:rsid w:val="0087541C"/>
    <w:rsid w:val="008760A4"/>
    <w:rsid w:val="00876B4B"/>
    <w:rsid w:val="008772BE"/>
    <w:rsid w:val="00880E51"/>
    <w:rsid w:val="00880F6C"/>
    <w:rsid w:val="00881166"/>
    <w:rsid w:val="008817BC"/>
    <w:rsid w:val="00881D0A"/>
    <w:rsid w:val="00882400"/>
    <w:rsid w:val="00882C6F"/>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BD9"/>
    <w:rsid w:val="008A1EB8"/>
    <w:rsid w:val="008A2168"/>
    <w:rsid w:val="008A2610"/>
    <w:rsid w:val="008A2701"/>
    <w:rsid w:val="008A452A"/>
    <w:rsid w:val="008A4C71"/>
    <w:rsid w:val="008A54B9"/>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E0198"/>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2C9"/>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075"/>
    <w:rsid w:val="00964255"/>
    <w:rsid w:val="00964583"/>
    <w:rsid w:val="00965077"/>
    <w:rsid w:val="009657FE"/>
    <w:rsid w:val="00965DC9"/>
    <w:rsid w:val="00966486"/>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52F"/>
    <w:rsid w:val="009815FD"/>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7216"/>
    <w:rsid w:val="009F7497"/>
    <w:rsid w:val="009F7794"/>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17E8D"/>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48"/>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781"/>
    <w:rsid w:val="00AA397D"/>
    <w:rsid w:val="00AA490F"/>
    <w:rsid w:val="00AA4CA3"/>
    <w:rsid w:val="00AA4DBE"/>
    <w:rsid w:val="00AA5315"/>
    <w:rsid w:val="00AA539D"/>
    <w:rsid w:val="00AA5550"/>
    <w:rsid w:val="00AA5603"/>
    <w:rsid w:val="00AA6FAB"/>
    <w:rsid w:val="00AB19DD"/>
    <w:rsid w:val="00AB1AAE"/>
    <w:rsid w:val="00AB1EE5"/>
    <w:rsid w:val="00AB21F9"/>
    <w:rsid w:val="00AB2F4F"/>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764"/>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C15"/>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672"/>
    <w:rsid w:val="00B2595B"/>
    <w:rsid w:val="00B25B31"/>
    <w:rsid w:val="00B25D53"/>
    <w:rsid w:val="00B25F49"/>
    <w:rsid w:val="00B27221"/>
    <w:rsid w:val="00B274E7"/>
    <w:rsid w:val="00B27515"/>
    <w:rsid w:val="00B276BA"/>
    <w:rsid w:val="00B27991"/>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377A"/>
    <w:rsid w:val="00B44238"/>
    <w:rsid w:val="00B4517E"/>
    <w:rsid w:val="00B46047"/>
    <w:rsid w:val="00B47816"/>
    <w:rsid w:val="00B509FF"/>
    <w:rsid w:val="00B5194E"/>
    <w:rsid w:val="00B5226E"/>
    <w:rsid w:val="00B53267"/>
    <w:rsid w:val="00B53DBF"/>
    <w:rsid w:val="00B5471A"/>
    <w:rsid w:val="00B54954"/>
    <w:rsid w:val="00B56138"/>
    <w:rsid w:val="00B57C8E"/>
    <w:rsid w:val="00B57E1B"/>
    <w:rsid w:val="00B6022D"/>
    <w:rsid w:val="00B61C7E"/>
    <w:rsid w:val="00B61F6F"/>
    <w:rsid w:val="00B62B5E"/>
    <w:rsid w:val="00B63729"/>
    <w:rsid w:val="00B63934"/>
    <w:rsid w:val="00B6450F"/>
    <w:rsid w:val="00B64F9D"/>
    <w:rsid w:val="00B65AC5"/>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5A19"/>
    <w:rsid w:val="00B86269"/>
    <w:rsid w:val="00B872BE"/>
    <w:rsid w:val="00B90898"/>
    <w:rsid w:val="00B909B0"/>
    <w:rsid w:val="00B90B7A"/>
    <w:rsid w:val="00B92633"/>
    <w:rsid w:val="00B92B00"/>
    <w:rsid w:val="00B92BD1"/>
    <w:rsid w:val="00B934CD"/>
    <w:rsid w:val="00B935A4"/>
    <w:rsid w:val="00B93669"/>
    <w:rsid w:val="00B93787"/>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0EA5"/>
    <w:rsid w:val="00BD10E4"/>
    <w:rsid w:val="00BD113A"/>
    <w:rsid w:val="00BD14A9"/>
    <w:rsid w:val="00BD154F"/>
    <w:rsid w:val="00BD1E9B"/>
    <w:rsid w:val="00BD33E3"/>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649"/>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677"/>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6A0"/>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0FA"/>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0DDD"/>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50A"/>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3BC7"/>
    <w:rsid w:val="00D6430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214"/>
    <w:rsid w:val="00D84977"/>
    <w:rsid w:val="00D8584A"/>
    <w:rsid w:val="00D85CD8"/>
    <w:rsid w:val="00D8662D"/>
    <w:rsid w:val="00D8720A"/>
    <w:rsid w:val="00D873C3"/>
    <w:rsid w:val="00D90931"/>
    <w:rsid w:val="00D91130"/>
    <w:rsid w:val="00D9152D"/>
    <w:rsid w:val="00D91DB5"/>
    <w:rsid w:val="00D933BC"/>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5BF8"/>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6AA"/>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2798"/>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456B3"/>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1A2A"/>
    <w:rsid w:val="00E72C3C"/>
    <w:rsid w:val="00E742B9"/>
    <w:rsid w:val="00E74A7C"/>
    <w:rsid w:val="00E7535E"/>
    <w:rsid w:val="00E75EBB"/>
    <w:rsid w:val="00E7685E"/>
    <w:rsid w:val="00E8023E"/>
    <w:rsid w:val="00E80295"/>
    <w:rsid w:val="00E809C5"/>
    <w:rsid w:val="00E81602"/>
    <w:rsid w:val="00E81C25"/>
    <w:rsid w:val="00E81CCA"/>
    <w:rsid w:val="00E8250A"/>
    <w:rsid w:val="00E82948"/>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4E5C"/>
    <w:rsid w:val="00E95093"/>
    <w:rsid w:val="00E95111"/>
    <w:rsid w:val="00E96499"/>
    <w:rsid w:val="00E96A09"/>
    <w:rsid w:val="00E974EB"/>
    <w:rsid w:val="00E978BC"/>
    <w:rsid w:val="00EA06F1"/>
    <w:rsid w:val="00EA1781"/>
    <w:rsid w:val="00EA22B3"/>
    <w:rsid w:val="00EA4A7A"/>
    <w:rsid w:val="00EA544B"/>
    <w:rsid w:val="00EA6358"/>
    <w:rsid w:val="00EA66EA"/>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66B"/>
    <w:rsid w:val="00F437E7"/>
    <w:rsid w:val="00F44817"/>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934"/>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1B"/>
    <w:rsid w:val="00F711A2"/>
    <w:rsid w:val="00F71F9A"/>
    <w:rsid w:val="00F7252A"/>
    <w:rsid w:val="00F73050"/>
    <w:rsid w:val="00F734A5"/>
    <w:rsid w:val="00F73948"/>
    <w:rsid w:val="00F739C8"/>
    <w:rsid w:val="00F74642"/>
    <w:rsid w:val="00F75FF6"/>
    <w:rsid w:val="00F76803"/>
    <w:rsid w:val="00F7689F"/>
    <w:rsid w:val="00F7697F"/>
    <w:rsid w:val="00F77125"/>
    <w:rsid w:val="00F80F47"/>
    <w:rsid w:val="00F8374B"/>
    <w:rsid w:val="00F83DDB"/>
    <w:rsid w:val="00F84499"/>
    <w:rsid w:val="00F8490A"/>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4E98"/>
    <w:rsid w:val="00FA525D"/>
    <w:rsid w:val="00FA60B6"/>
    <w:rsid w:val="00FA62E0"/>
    <w:rsid w:val="00FA636E"/>
    <w:rsid w:val="00FA7281"/>
    <w:rsid w:val="00FB029F"/>
    <w:rsid w:val="00FB06B4"/>
    <w:rsid w:val="00FB1A91"/>
    <w:rsid w:val="00FB241F"/>
    <w:rsid w:val="00FB3A04"/>
    <w:rsid w:val="00FB3A69"/>
    <w:rsid w:val="00FB4096"/>
    <w:rsid w:val="00FB4F4F"/>
    <w:rsid w:val="00FB6560"/>
    <w:rsid w:val="00FB6CE4"/>
    <w:rsid w:val="00FB7248"/>
    <w:rsid w:val="00FB75B5"/>
    <w:rsid w:val="00FB7ABD"/>
    <w:rsid w:val="00FB7E90"/>
    <w:rsid w:val="00FC069F"/>
    <w:rsid w:val="00FC0CE3"/>
    <w:rsid w:val="00FC13BC"/>
    <w:rsid w:val="00FC1614"/>
    <w:rsid w:val="00FC1696"/>
    <w:rsid w:val="00FC3A96"/>
    <w:rsid w:val="00FC41AF"/>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D7F34"/>
    <w:rsid w:val="00FE0399"/>
    <w:rsid w:val="00FE1048"/>
    <w:rsid w:val="00FE130E"/>
    <w:rsid w:val="00FE2895"/>
    <w:rsid w:val="00FE2DB8"/>
    <w:rsid w:val="00FE2E74"/>
    <w:rsid w:val="00FE2E7B"/>
    <w:rsid w:val="00FE2FB8"/>
    <w:rsid w:val="00FE3265"/>
    <w:rsid w:val="00FE40E7"/>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32504-382E-4FDC-A391-7F4F1C592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73</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30</cp:revision>
  <cp:lastPrinted>2016-03-25T21:53:00Z</cp:lastPrinted>
  <dcterms:created xsi:type="dcterms:W3CDTF">2017-08-07T22:05:00Z</dcterms:created>
  <dcterms:modified xsi:type="dcterms:W3CDTF">2017-08-11T15:39:00Z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